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45AB40C" w:rsidR="009C1C6B" w:rsidRPr="00BF31BF" w:rsidRDefault="00196CD3" w:rsidP="003D4077">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46E94426" w:rsidR="009C1C6B" w:rsidRPr="00BF31BF"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3A177E">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3A177E">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3A177E">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3A177E">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3A177E">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3A177E">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3A177E">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3A177E">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3A177E">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3A177E">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ACC76CA" w:rsidR="00A17717" w:rsidRDefault="003A177E">
      <w:pPr>
        <w:pStyle w:val="TM3"/>
        <w:rPr>
          <w:rFonts w:asciiTheme="minorHAnsi" w:eastAsiaTheme="minorEastAsia" w:hAnsiTheme="minorHAnsi" w:cstheme="minorBidi"/>
          <w:noProof/>
          <w:szCs w:val="22"/>
          <w:lang w:val="fr-CA" w:eastAsia="fr-CA"/>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173FC790" w14:textId="6801B041"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0"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1" w:name="_Toc42496321"/>
      <w:bookmarkStart w:id="2" w:name="_Toc39486667"/>
      <w:r>
        <w:t>Thème : J’aime l’eau</w:t>
      </w:r>
      <w:bookmarkEnd w:id="1"/>
    </w:p>
    <w:p w14:paraId="5629E31B" w14:textId="77777777" w:rsidR="00C96EA3" w:rsidRPr="00BF31BF" w:rsidRDefault="00C96EA3" w:rsidP="00C96EA3">
      <w:pPr>
        <w:pStyle w:val="Titredelactivit"/>
        <w:tabs>
          <w:tab w:val="left" w:pos="7170"/>
        </w:tabs>
      </w:pPr>
      <w:bookmarkStart w:id="3" w:name="_Toc42496322"/>
      <w:r>
        <w:t>Suggestions d’activités</w:t>
      </w:r>
      <w:bookmarkEnd w:id="2"/>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4" w:name="_Toc36744043"/>
            <w:bookmarkStart w:id="5" w:name="_Toc39486668"/>
            <w:bookmarkStart w:id="6" w:name="_Toc42496323"/>
            <w:bookmarkStart w:id="7" w:name="_Hlk36746529"/>
            <w:r w:rsidRPr="00BF31BF">
              <w:t>Information aux parents</w:t>
            </w:r>
            <w:bookmarkEnd w:id="4"/>
            <w:bookmarkEnd w:id="5"/>
            <w:bookmarkEnd w:id="6"/>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14:paraId="2303655D" w14:textId="2263A18B" w:rsidR="00936D23" w:rsidRPr="0073504F" w:rsidRDefault="00936D23" w:rsidP="0073504F">
      <w:pPr>
        <w:sectPr w:rsidR="00936D23" w:rsidRPr="0073504F" w:rsidSect="00176B29">
          <w:headerReference w:type="default" r:id="rId13"/>
          <w:footerReference w:type="default" r:id="rId14"/>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bookmarkStart w:id="8" w:name="_Toc39486669"/>
    <w:bookmarkStart w:id="9" w:name="_Toc42496324"/>
    <w:p w14:paraId="6F900DA5" w14:textId="3C02E8D8" w:rsidR="00C96EA3" w:rsidRPr="00BF31BF" w:rsidRDefault="00C16261" w:rsidP="00C96EA3">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0" w:name="_Toc39486670"/>
            <w:bookmarkStart w:id="11" w:name="_Toc42496325"/>
            <w:r w:rsidRPr="00BF31BF">
              <w:t>Information aux parents</w:t>
            </w:r>
            <w:bookmarkEnd w:id="10"/>
            <w:bookmarkEnd w:id="11"/>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bookmarkStart w:id="12" w:name="_Toc42496326"/>
    <w:p w14:paraId="04084BD9"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3" w:name="_Toc39486672"/>
            <w:bookmarkStart w:id="14" w:name="_Toc42496327"/>
            <w:r w:rsidRPr="00BF31BF">
              <w:t>Information aux parents</w:t>
            </w:r>
            <w:bookmarkEnd w:id="13"/>
            <w:bookmarkEnd w:id="14"/>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16" w:history="1">
                    <w:r w:rsidRPr="003C7BBE">
                      <w:rPr>
                        <w:rStyle w:val="Lienhypertexte"/>
                      </w:rPr>
                      <w:t>i</w:t>
                    </w:r>
                    <w:r w:rsidRPr="003C7BBE">
                      <w:rPr>
                        <w:rStyle w:val="Lienhypertexte"/>
                      </w:rPr>
                      <w:t>c</w:t>
                    </w:r>
                    <w:r w:rsidRPr="003C7BBE">
                      <w:rPr>
                        <w:rStyle w:val="Lienhypertexte"/>
                      </w:rPr>
                      <w:t>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17"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19"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0"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bookmarkStart w:id="15" w:name="_Toc42496328"/>
    <w:p w14:paraId="4B52A4A1" w14:textId="77777777" w:rsidR="00C96EA3" w:rsidRPr="00E53C38" w:rsidRDefault="00C96EA3" w:rsidP="00C96EA3">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6" w:name="_Toc39486674"/>
            <w:bookmarkStart w:id="17" w:name="_Toc42496329"/>
            <w:r w:rsidRPr="00BF31BF">
              <w:t>Information aux parent</w:t>
            </w:r>
            <w:bookmarkEnd w:id="16"/>
            <w:r>
              <w:t>s</w:t>
            </w:r>
            <w:bookmarkEnd w:id="17"/>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proofErr w:type="gramStart"/>
            <w:r>
              <w:t>dans</w:t>
            </w:r>
            <w:proofErr w:type="gramEnd"/>
            <w:r>
              <w:t xml:space="preserve"> un bac ou un seau rempli d’eau à l’extérieur ou</w:t>
            </w:r>
          </w:p>
          <w:p w14:paraId="0BF70AF8" w14:textId="77777777" w:rsidR="00C96EA3" w:rsidRDefault="00C96EA3" w:rsidP="002A2DA3">
            <w:pPr>
              <w:pStyle w:val="Consignepuceniveau2"/>
            </w:pPr>
            <w:proofErr w:type="gramStart"/>
            <w:r>
              <w:t>dans</w:t>
            </w:r>
            <w:proofErr w:type="gramEnd"/>
            <w:r>
              <w:t xml:space="preserve">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 xml:space="preserve">Un bloc </w:t>
                  </w:r>
                  <w:proofErr w:type="spellStart"/>
                  <w:r>
                    <w:t>légo</w:t>
                  </w:r>
                  <w:proofErr w:type="spellEnd"/>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bookmarkStart w:id="18" w:name="_Toc39486675"/>
    <w:bookmarkStart w:id="19" w:name="_Toc42496330"/>
    <w:p w14:paraId="377AF389" w14:textId="6075C056"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0" w:name="_Toc39486676"/>
            <w:bookmarkStart w:id="21" w:name="_Toc42496331"/>
            <w:r w:rsidRPr="00BF31BF">
              <w:t>Information aux parents</w:t>
            </w:r>
            <w:bookmarkEnd w:id="20"/>
            <w:bookmarkEnd w:id="21"/>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3" w:history="1">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4" w:history="1">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14:paraId="396AEE20" w14:textId="585291E1" w:rsidR="002A2DA3" w:rsidRDefault="002A2DA3" w:rsidP="002A2DA3">
                  <w:pPr>
                    <w:pStyle w:val="Tableau-Liste"/>
                    <w:numPr>
                      <w:ilvl w:val="0"/>
                      <w:numId w:val="3"/>
                    </w:numPr>
                    <w:ind w:left="357" w:hanging="357"/>
                  </w:pPr>
                  <w:r>
                    <w:t xml:space="preserve">Regardez </w:t>
                  </w:r>
                  <w:hyperlink r:id="rId25" w:history="1">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6"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7" w:history="1">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8"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29" w:history="1">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0"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2" w:history="1">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2" w:name="_Hlk37076839"/>
      <w:r>
        <w:lastRenderedPageBreak/>
        <w:t>Préscolaire, maternelle 4 et 5 ans</w:t>
      </w:r>
    </w:p>
    <w:bookmarkStart w:id="23" w:name="_Toc42496332"/>
    <w:p w14:paraId="0C0B26E6"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4" w:name="_Toc39486678"/>
            <w:bookmarkStart w:id="25" w:name="_Toc42496333"/>
            <w:r w:rsidRPr="00BF31BF">
              <w:t>Information aux parents</w:t>
            </w:r>
            <w:bookmarkEnd w:id="24"/>
            <w:bookmarkEnd w:id="25"/>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id="26" w:name="_GoBack"/>
            <w:bookmarkEnd w:id="26"/>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proofErr w:type="gramStart"/>
            <w:r>
              <w:t>½</w:t>
            </w:r>
            <w:proofErr w:type="gramEnd"/>
            <w:r>
              <w:t xml:space="preserve">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20CAF4F6" w:rsidR="00A858BC" w:rsidRPr="001E04C8"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0"/>
      <w:bookmarkEnd w:id="22"/>
    </w:p>
    <w:sectPr w:rsidR="00A858BC"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5B1F" w14:textId="77777777" w:rsidR="003A177E" w:rsidRDefault="003A177E" w:rsidP="005E3AF4">
      <w:r>
        <w:separator/>
      </w:r>
    </w:p>
  </w:endnote>
  <w:endnote w:type="continuationSeparator" w:id="0">
    <w:p w14:paraId="131D2093" w14:textId="77777777" w:rsidR="003A177E" w:rsidRDefault="003A177E"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14:paraId="63C9DFD4" w14:textId="6263CD67"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7E85" w14:textId="77777777" w:rsidR="003A177E" w:rsidRDefault="003A177E" w:rsidP="005E3AF4">
      <w:r>
        <w:separator/>
      </w:r>
    </w:p>
  </w:footnote>
  <w:footnote w:type="continuationSeparator" w:id="0">
    <w:p w14:paraId="1665D02B" w14:textId="77777777" w:rsidR="003A177E" w:rsidRDefault="003A177E"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09C0512" w:rsidR="00A2529D" w:rsidRPr="005E3AF4" w:rsidRDefault="003D4077" w:rsidP="00B028EC">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safeYouTube.net/w/06kK"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zonevideo.telequebec.tv/media/44603/se-laver/passe-partout" TargetMode="External"/><Relationship Id="rId25" Type="http://schemas.openxmlformats.org/officeDocument/2006/relationships/hyperlink" Target="https://safeYouTube.net/w/Q5kK" TargetMode="External"/><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safeYouTube.net/w/SzkK" TargetMode="External"/><Relationship Id="rId20" Type="http://schemas.openxmlformats.org/officeDocument/2006/relationships/hyperlink" Target="https://naitreetgrandir.com/blogue/2017/02/24/des-jeux-rigolos-a-heure-du-bain/" TargetMode="External"/><Relationship Id="rId29" Type="http://schemas.openxmlformats.org/officeDocument/2006/relationships/hyperlink" Target="https://safeYouTube.net/w/67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E3kK" TargetMode="External"/><Relationship Id="rId32" Type="http://schemas.openxmlformats.org/officeDocument/2006/relationships/hyperlink" Target="https://safeYouTube.net/w/N2k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a5kK" TargetMode="External"/><Relationship Id="rId28" Type="http://schemas.openxmlformats.org/officeDocument/2006/relationships/hyperlink" Target="https://zonevideo.telequebec.tv/media/45952/les-poissons/passe-partou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itreetgrandir.com/fr/sante/lavage-mains/"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safeYouTube.net/w/b7kK" TargetMode="External"/><Relationship Id="rId30" Type="http://schemas.openxmlformats.org/officeDocument/2006/relationships/hyperlink" Target="https://safeYouTube.net/w/U7k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DA1C0A8-62E9-43E3-8D43-C5E878F8BE7C}"/>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1241</Words>
  <Characters>6830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50</cp:revision>
  <cp:lastPrinted>2020-03-31T21:49:00Z</cp:lastPrinted>
  <dcterms:created xsi:type="dcterms:W3CDTF">2020-05-27T12:48:00Z</dcterms:created>
  <dcterms:modified xsi:type="dcterms:W3CDTF">2020-06-08T13:48:00Z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