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2717E" w14:textId="07A787F1" w:rsidR="00814ACE" w:rsidRDefault="00035250" w:rsidP="00814ACE">
      <w:pPr>
        <w:pStyle w:val="TM1"/>
        <w:spacing w:before="3360" w:after="0"/>
        <w:rPr>
          <w:rFonts w:asciiTheme="minorHAnsi" w:eastAsiaTheme="minorEastAsia" w:hAnsiTheme="minorHAnsi" w:cstheme="minorBidi"/>
          <w:noProof/>
          <w:sz w:val="22"/>
          <w:szCs w:val="22"/>
          <w:lang w:val="fr-CA" w:eastAsia="fr-CA"/>
        </w:rPr>
      </w:pPr>
      <w:r>
        <w:br/>
      </w:r>
      <w:r>
        <w:br/>
      </w:r>
      <w:r>
        <w:fldChar w:fldCharType="begin"/>
      </w:r>
      <w:r>
        <w:instrText xml:space="preserve"> TOC \h \z \t "Titre de l'activité;1" </w:instrText>
      </w:r>
      <w:r>
        <w:fldChar w:fldCharType="separate"/>
      </w:r>
    </w:p>
    <w:p w14:paraId="13797A7A" w14:textId="14D962D3" w:rsidR="003C5D14" w:rsidRDefault="003C5D14">
      <w:pPr>
        <w:pStyle w:val="TM1"/>
        <w:rPr>
          <w:rFonts w:asciiTheme="minorHAnsi" w:eastAsiaTheme="minorEastAsia" w:hAnsiTheme="minorHAnsi" w:cstheme="minorBidi"/>
          <w:noProof/>
          <w:sz w:val="22"/>
          <w:szCs w:val="22"/>
          <w:lang w:val="fr-CA" w:eastAsia="fr-CA"/>
        </w:rPr>
      </w:pPr>
    </w:p>
    <w:p w14:paraId="446C1EE5" w14:textId="0683C253" w:rsidR="00DF4403" w:rsidRPr="00DF4403" w:rsidRDefault="00035250"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fldChar w:fldCharType="end"/>
      </w:r>
    </w:p>
    <w:p w14:paraId="4F522C1C" w14:textId="12BB9122" w:rsidR="00954ED6" w:rsidRDefault="007F757B" w:rsidP="00954ED6">
      <w:pPr>
        <w:pStyle w:val="Titredelactivit"/>
        <w:rPr>
          <w:lang w:val="fr-CA"/>
        </w:rPr>
      </w:pPr>
      <w:bookmarkStart w:id="0" w:name="_Toc36738347"/>
      <w:r w:rsidRPr="007F757B">
        <w:rPr>
          <w:lang w:val="fr-CA"/>
        </w:rPr>
        <w:lastRenderedPageBreak/>
        <w:t>La critique littéraire</w:t>
      </w:r>
      <w:bookmarkEnd w:id="0"/>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17"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18" w:tgtFrame="_blank" w:history="1">
        <w:r w:rsidRPr="006E2802">
          <w:t>logiciels audio</w:t>
        </w:r>
      </w:hyperlink>
      <w:r w:rsidRPr="006E2802">
        <w:t>. </w:t>
      </w:r>
      <w:hyperlink r:id="rId19"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20"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Pr="00954ED6" w:rsidRDefault="00FD100F" w:rsidP="00035250">
      <w:pPr>
        <w:pStyle w:val="Crdit"/>
        <w:rPr>
          <w:lang w:val="fr-CA"/>
        </w:rPr>
        <w:sectPr w:rsidR="00FD100F" w:rsidRPr="00954ED6" w:rsidSect="006F3382">
          <w:headerReference w:type="default" r:id="rId21"/>
          <w:footerReference w:type="default" r:id="rId22"/>
          <w:pgSz w:w="12240" w:h="15840"/>
          <w:pgMar w:top="567" w:right="1418" w:bottom="1418" w:left="1276" w:header="709" w:footer="709" w:gutter="0"/>
          <w:cols w:space="708"/>
          <w:docGrid w:linePitch="360"/>
        </w:sectPr>
      </w:pPr>
    </w:p>
    <w:p w14:paraId="35078D2D" w14:textId="77777777" w:rsidR="00FB35D1" w:rsidRPr="005003A3" w:rsidRDefault="00FB35D1" w:rsidP="00D85F5F">
      <w:pPr>
        <w:pStyle w:val="Titredelactivit"/>
        <w:rPr>
          <w:lang w:val="en-CA"/>
        </w:rPr>
      </w:pPr>
      <w:bookmarkStart w:id="1" w:name="_Toc36738348"/>
      <w:r w:rsidRPr="005003A3">
        <w:rPr>
          <w:lang w:val="en-CA"/>
        </w:rPr>
        <w:lastRenderedPageBreak/>
        <w:t>What Is the Coronavirus?</w:t>
      </w:r>
      <w:bookmarkEnd w:id="1"/>
    </w:p>
    <w:p w14:paraId="13E922F0" w14:textId="2063F054" w:rsidR="00954ED6" w:rsidRPr="005003A3" w:rsidRDefault="00954ED6" w:rsidP="00954ED6">
      <w:pPr>
        <w:pStyle w:val="Consignesetmatriel-titres"/>
        <w:rPr>
          <w:lang w:val="en-CA"/>
        </w:rPr>
      </w:pPr>
      <w:proofErr w:type="spellStart"/>
      <w:r w:rsidRPr="005003A3">
        <w:rPr>
          <w:lang w:val="en-CA"/>
        </w:rPr>
        <w:t>Consigne</w:t>
      </w:r>
      <w:proofErr w:type="spellEnd"/>
      <w:r w:rsidRPr="005003A3">
        <w:rPr>
          <w:lang w:val="en-CA"/>
        </w:rPr>
        <w:t xml:space="preserve"> à </w:t>
      </w:r>
      <w:proofErr w:type="spellStart"/>
      <w:r w:rsidRPr="005003A3">
        <w:rPr>
          <w:lang w:val="en-CA"/>
        </w:rPr>
        <w:t>l’élève</w:t>
      </w:r>
      <w:proofErr w:type="spellEnd"/>
    </w:p>
    <w:p w14:paraId="71EDFCCB" w14:textId="77777777"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5207ED02" w14:textId="77777777" w:rsidR="00954ED6" w:rsidRDefault="00954ED6" w:rsidP="00D85F5F">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 xml:space="preserve">Read the statements (see </w:t>
      </w:r>
      <w:proofErr w:type="gramStart"/>
      <w:r w:rsidRPr="00F648FC">
        <w:rPr>
          <w:b w:val="0"/>
          <w:color w:val="auto"/>
          <w:sz w:val="22"/>
          <w:szCs w:val="22"/>
          <w:lang w:val="en-CA"/>
        </w:rPr>
        <w:t>Appendix )</w:t>
      </w:r>
      <w:proofErr w:type="gramEnd"/>
      <w:r w:rsidRPr="00F648FC">
        <w:rPr>
          <w:b w:val="0"/>
          <w:color w:val="auto"/>
          <w:sz w:val="22"/>
          <w:szCs w:val="22"/>
          <w:lang w:val="en-CA"/>
        </w:rPr>
        <w:t>.</w:t>
      </w:r>
    </w:p>
    <w:p w14:paraId="151C49E9"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w:t>
      </w:r>
      <w:proofErr w:type="spellStart"/>
      <w:r w:rsidRPr="00F209E1">
        <w:rPr>
          <w:b w:val="0"/>
          <w:color w:val="auto"/>
          <w:sz w:val="22"/>
          <w:szCs w:val="22"/>
          <w:lang w:val="en-CA"/>
        </w:rPr>
        <w:t>falseby</w:t>
      </w:r>
      <w:proofErr w:type="spellEnd"/>
      <w:r w:rsidRPr="00F209E1">
        <w:rPr>
          <w:b w:val="0"/>
          <w:color w:val="auto"/>
          <w:sz w:val="22"/>
          <w:szCs w:val="22"/>
          <w:lang w:val="en-CA"/>
        </w:rPr>
        <w:t xml:space="preserve"> checking </w:t>
      </w:r>
      <w:r>
        <w:rPr>
          <w:b w:val="0"/>
          <w:color w:val="auto"/>
          <w:sz w:val="22"/>
          <w:szCs w:val="22"/>
          <w:lang w:val="en-CA"/>
        </w:rPr>
        <w:t>X</w:t>
      </w:r>
      <w:r w:rsidRPr="00F209E1">
        <w:rPr>
          <w:b w:val="0"/>
          <w:color w:val="auto"/>
          <w:sz w:val="22"/>
          <w:szCs w:val="22"/>
          <w:lang w:val="en-CA"/>
        </w:rPr>
        <w:t xml:space="preserve"> the appropriate box. </w:t>
      </w:r>
    </w:p>
    <w:p w14:paraId="781497A1" w14:textId="77777777" w:rsidR="00954ED6" w:rsidRP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 (only read the sections that are specified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4909FD7D"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77777777" w:rsidR="00954ED6" w:rsidRDefault="00954ED6" w:rsidP="00D85F5F">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14:paraId="2228A518" w14:textId="77777777" w:rsidR="00954ED6" w:rsidRDefault="00954ED6" w:rsidP="00D85F5F">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85F5F">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r w:rsidRPr="008F2E04">
        <w:rPr>
          <w:lang w:val="en-CA"/>
        </w:rPr>
        <w:t xml:space="preserve">Matériel </w:t>
      </w:r>
      <w:proofErr w:type="spellStart"/>
      <w:r w:rsidRPr="008F2E04">
        <w:rPr>
          <w:lang w:val="en-CA"/>
        </w:rPr>
        <w:t>requis</w:t>
      </w:r>
      <w:proofErr w:type="spellEnd"/>
    </w:p>
    <w:p w14:paraId="4CE5ABD3" w14:textId="458054ED" w:rsidR="00A878E0" w:rsidRPr="00FB35D1" w:rsidRDefault="00954ED6"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77777777"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t>L’aider</w:t>
            </w:r>
            <w:r w:rsidR="00954ED6">
              <w:t xml:space="preserve"> à lire les affirmations (vrai ou faux) et les questions au besoin; </w:t>
            </w:r>
          </w:p>
          <w:p w14:paraId="3397F10E" w14:textId="623F6718" w:rsidR="00196722" w:rsidRPr="006F3382" w:rsidRDefault="00416A1B" w:rsidP="00416A1B">
            <w:pPr>
              <w:pStyle w:val="TableauParagraphedeliste"/>
              <w:ind w:left="614"/>
            </w:pPr>
            <w:r>
              <w:t>Lui</w:t>
            </w:r>
            <w:r w:rsidR="00954ED6">
              <w:t xml:space="preserve"> expliquer les mots plus difficiles dans les affirmations et les questions.</w:t>
            </w:r>
            <w:r w:rsidR="00954ED6" w:rsidRPr="006F3382">
              <w:t xml:space="preserve"> </w:t>
            </w:r>
          </w:p>
        </w:tc>
      </w:tr>
    </w:tbl>
    <w:p w14:paraId="666979A1" w14:textId="77777777" w:rsidR="00FD100F" w:rsidRDefault="00FD100F"/>
    <w:p w14:paraId="4A4E0ECA" w14:textId="77777777" w:rsidR="00B302C4" w:rsidRDefault="00B302C4">
      <w:pPr>
        <w:sectPr w:rsidR="00B302C4" w:rsidSect="006F3382">
          <w:headerReference w:type="default" r:id="rId23"/>
          <w:pgSz w:w="12240" w:h="15840"/>
          <w:pgMar w:top="567" w:right="1418" w:bottom="1418" w:left="1276" w:header="709" w:footer="709" w:gutter="0"/>
          <w:cols w:space="708"/>
          <w:docGrid w:linePitch="360"/>
        </w:sectPr>
      </w:pPr>
    </w:p>
    <w:p w14:paraId="5A0790F9" w14:textId="6362C21A" w:rsidR="00FD100F" w:rsidRDefault="005003A3" w:rsidP="00D35E6E">
      <w:pPr>
        <w:pStyle w:val="Titredelactivit"/>
        <w:spacing w:before="480" w:after="120"/>
        <w:rPr>
          <w:lang w:val="fr-CA"/>
        </w:rPr>
      </w:pPr>
      <w:bookmarkStart w:id="2" w:name="_Toc36738351"/>
      <w:r>
        <w:rPr>
          <w:lang w:val="fr-CA"/>
        </w:rPr>
        <w:lastRenderedPageBreak/>
        <w:t>Bingo</w:t>
      </w:r>
      <w:r w:rsidR="003B7F66">
        <w:rPr>
          <w:lang w:val="fr-CA"/>
        </w:rPr>
        <w:t xml:space="preserve"> mathématique</w:t>
      </w:r>
      <w:r>
        <w:rPr>
          <w:lang w:val="fr-CA"/>
        </w:rPr>
        <w:t>!</w:t>
      </w:r>
      <w:bookmarkEnd w:id="2"/>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7"/>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7"/>
        </w:numPr>
        <w:spacing w:after="0"/>
        <w:ind w:left="392"/>
      </w:pPr>
      <w:r>
        <w:t xml:space="preserve">Une paire de ciseaux (facultatif) </w:t>
      </w:r>
    </w:p>
    <w:p w14:paraId="0427D6A7" w14:textId="77777777" w:rsidR="00C23A36" w:rsidRDefault="00C23A36" w:rsidP="00D35E6E">
      <w:pPr>
        <w:pStyle w:val="Consignesetmatriel-description"/>
        <w:numPr>
          <w:ilvl w:val="0"/>
          <w:numId w:val="37"/>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xml:space="preserve"> », qui se lit « 6 </w:t>
            </w:r>
            <w:proofErr w:type="gramStart"/>
            <w:r w:rsidRPr="008F62B0">
              <w:rPr>
                <w:rStyle w:val="normaltextrun"/>
                <w:rFonts w:eastAsiaTheme="majorEastAsia" w:cs="Arial"/>
              </w:rPr>
              <w:t>exposant</w:t>
            </w:r>
            <w:proofErr w:type="gramEnd"/>
            <w:r w:rsidRPr="008F62B0">
              <w:rPr>
                <w:rStyle w:val="normaltextrun"/>
                <w:rFonts w:eastAsiaTheme="majorEastAsia" w:cs="Arial"/>
              </w:rPr>
              <w:t xml:space="preserve">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3" w:name="_Toc36738352"/>
      <w:r w:rsidRPr="00035250">
        <w:lastRenderedPageBreak/>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4" w:name="_Toc36738353"/>
      <w:r w:rsidRPr="007004E1">
        <w:lastRenderedPageBreak/>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4"/>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5" w:name="_Toc36738354"/>
      <w:r w:rsidRPr="00035250">
        <w:lastRenderedPageBreak/>
        <w:t xml:space="preserve">Annexe – </w:t>
      </w:r>
      <w:r w:rsidR="002C04F0">
        <w:t>Expression</w:t>
      </w:r>
      <w:r w:rsidR="00374E4E">
        <w:t>s</w:t>
      </w:r>
      <w:r w:rsidR="002C04F0">
        <w:t xml:space="preserve"> à lire</w:t>
      </w:r>
      <w:bookmarkEnd w:id="5"/>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13553449" w14:textId="31DD599B" w:rsidR="00FD100F" w:rsidRDefault="001B2517" w:rsidP="00FD100F">
      <w:pPr>
        <w:pStyle w:val="Titredelactivit"/>
        <w:rPr>
          <w:lang w:val="fr-CA"/>
        </w:rPr>
      </w:pPr>
      <w:bookmarkStart w:id="6" w:name="_Toc36738355"/>
      <w:r w:rsidRPr="001B2517">
        <w:rPr>
          <w:lang w:val="fr-CA"/>
        </w:rPr>
        <w:lastRenderedPageBreak/>
        <w:t xml:space="preserve">La machine de </w:t>
      </w:r>
      <w:proofErr w:type="spellStart"/>
      <w:r w:rsidRPr="001B2517">
        <w:rPr>
          <w:lang w:val="fr-CA"/>
        </w:rPr>
        <w:t>Rube</w:t>
      </w:r>
      <w:proofErr w:type="spellEnd"/>
      <w:r w:rsidRPr="001B2517">
        <w:rPr>
          <w:lang w:val="fr-CA"/>
        </w:rPr>
        <w:t xml:space="preserve"> Goldberg</w:t>
      </w:r>
      <w:bookmarkEnd w:id="6"/>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7"/>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3"/>
        </w:numPr>
        <w:spacing w:after="120"/>
        <w:ind w:left="392" w:right="45" w:hanging="357"/>
      </w:pPr>
      <w:r>
        <w:t xml:space="preserve">Divers objets sécuritaires disponibles à la maison et bien du matériel de recyclage. (Pas besoin d’un atelier ou d’un garage : gardons ça </w:t>
      </w:r>
      <w:proofErr w:type="gramStart"/>
      <w:r>
        <w:t>simple!</w:t>
      </w:r>
      <w:proofErr w:type="gramEnd"/>
      <w:r>
        <w:t>)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proofErr w:type="gramStart"/>
            <w:r w:rsidRPr="007C2CFF">
              <w:t>Attention!</w:t>
            </w:r>
            <w:proofErr w:type="gramEnd"/>
            <w:r w:rsidRPr="007C2CFF">
              <w:t>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7" w:name="_Toc36738356"/>
      <w:r w:rsidRPr="00035250">
        <w:lastRenderedPageBreak/>
        <w:t xml:space="preserve">Annexe – </w:t>
      </w:r>
      <w:r w:rsidR="006621F1" w:rsidRPr="001B2517">
        <w:rPr>
          <w:lang w:val="fr-CA"/>
        </w:rPr>
        <w:t xml:space="preserve">machine </w:t>
      </w:r>
      <w:r w:rsidR="006621F1">
        <w:rPr>
          <w:lang w:val="fr-CA"/>
        </w:rPr>
        <w:t xml:space="preserve">de </w:t>
      </w:r>
      <w:proofErr w:type="spellStart"/>
      <w:r>
        <w:t>Rube</w:t>
      </w:r>
      <w:proofErr w:type="spellEnd"/>
      <w:r>
        <w:t xml:space="preserve"> </w:t>
      </w:r>
      <w:proofErr w:type="spellStart"/>
      <w:r w:rsidR="006621F1">
        <w:t>G</w:t>
      </w:r>
      <w:r>
        <w:t>olberg</w:t>
      </w:r>
      <w:bookmarkEnd w:id="7"/>
      <w:proofErr w:type="spellEnd"/>
    </w:p>
    <w:p w14:paraId="6F5DCEF1" w14:textId="77777777" w:rsidR="006621F1" w:rsidRPr="008E157D" w:rsidRDefault="006621F1" w:rsidP="008E157D">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rsidRPr="008E157D">
        <w:t>Clique</w:t>
      </w:r>
      <w:r w:rsidR="008E157D" w:rsidRPr="008E157D">
        <w:t xml:space="preserve"> sur ce lien </w:t>
      </w:r>
      <w:r w:rsidRPr="008E157D">
        <w:t>pour voir à quoi ressemblent des machines de </w:t>
      </w:r>
      <w:proofErr w:type="spellStart"/>
      <w:r w:rsidRPr="008E157D">
        <w:t>Rube</w:t>
      </w:r>
      <w:proofErr w:type="spellEnd"/>
      <w:r w:rsidRPr="008E157D">
        <w:t> Goldberg</w:t>
      </w:r>
      <w:r w:rsidR="008E157D">
        <w:t xml:space="preserve"> : </w:t>
      </w:r>
      <w:r w:rsidR="008E157D" w:rsidRPr="008E157D">
        <w:t>https://www.youtube.com/watch?v=dFWHbRApS3c</w:t>
      </w:r>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 xml:space="preserve">À la suite du visionnement des vidéos, que peux-tu dire des machines de </w:t>
      </w:r>
      <w:proofErr w:type="gramStart"/>
      <w:r w:rsidRPr="00B30154">
        <w:rPr>
          <w:rFonts w:cs="Arial"/>
        </w:rPr>
        <w:t>Goldberg?</w:t>
      </w:r>
      <w:proofErr w:type="gramEnd"/>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8" w:name="_Toc36738357"/>
      <w:r w:rsidRPr="000515DC">
        <w:rPr>
          <w:lang w:val="fr-CA"/>
        </w:rPr>
        <w:lastRenderedPageBreak/>
        <w:t>La sédentarité</w:t>
      </w:r>
      <w:bookmarkEnd w:id="8"/>
    </w:p>
    <w:p w14:paraId="49256FC3" w14:textId="77777777" w:rsidR="00FD100F" w:rsidRPr="00B14054" w:rsidRDefault="00FD100F" w:rsidP="00FD100F">
      <w:pPr>
        <w:pStyle w:val="Consignesetmatriel-titres"/>
      </w:pPr>
      <w:r w:rsidRPr="00B14054">
        <w:t>Consigne à l’élève</w:t>
      </w:r>
    </w:p>
    <w:p w14:paraId="03CC3F80" w14:textId="77777777" w:rsidR="005F1C6C" w:rsidRDefault="005F1C6C" w:rsidP="00B30154">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3"/>
        </w:numPr>
        <w:spacing w:after="120"/>
        <w:ind w:left="392" w:right="45" w:hanging="357"/>
        <w:rPr>
          <w:lang w:val="fr-CA"/>
        </w:rPr>
      </w:pPr>
      <w:r>
        <w:rPr>
          <w:lang w:val="fr-CA"/>
        </w:rPr>
        <w:t xml:space="preserve">Consulte ce </w:t>
      </w:r>
      <w:hyperlink r:id="rId27"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8"/>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9" w:name="_Toc36738358"/>
      <w:r w:rsidRPr="009D4572">
        <w:rPr>
          <w:lang w:val="fr-CA"/>
        </w:rPr>
        <w:lastRenderedPageBreak/>
        <w:t>Planification, action, réflexion</w:t>
      </w:r>
      <w:bookmarkEnd w:id="9"/>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 </w:t>
      </w:r>
    </w:p>
    <w:p w14:paraId="331C7561" w14:textId="0F56CB23" w:rsidR="009D4572" w:rsidRDefault="009D4572" w:rsidP="00DB4B58">
      <w:pPr>
        <w:pStyle w:val="Consignesetmatriel-description"/>
        <w:numPr>
          <w:ilvl w:val="1"/>
          <w:numId w:val="13"/>
        </w:numPr>
        <w:spacing w:after="0"/>
        <w:ind w:left="850" w:right="45" w:hanging="357"/>
        <w:rPr>
          <w:lang w:val="fr-CA"/>
        </w:rPr>
      </w:pPr>
      <w:proofErr w:type="spellStart"/>
      <w:r w:rsidRPr="009D4572">
        <w:rPr>
          <w:lang w:val="fr-CA"/>
        </w:rPr>
        <w:t>Pose-toi</w:t>
      </w:r>
      <w:proofErr w:type="spellEnd"/>
      <w:r w:rsidRPr="009D4572">
        <w:rPr>
          <w:lang w:val="fr-CA"/>
        </w:rPr>
        <w:t> la question : « Suis-je sédentaire? » </w:t>
      </w:r>
    </w:p>
    <w:p w14:paraId="0FBBC3DA" w14:textId="7491EB9F" w:rsidR="00AA2810" w:rsidRPr="009D4572" w:rsidRDefault="00EC53EC" w:rsidP="00DB4B58">
      <w:pPr>
        <w:pStyle w:val="Consignesetmatriel-description"/>
        <w:numPr>
          <w:ilvl w:val="0"/>
          <w:numId w:val="13"/>
        </w:numPr>
        <w:spacing w:after="120"/>
        <w:ind w:left="392" w:right="45" w:hanging="357"/>
        <w:rPr>
          <w:lang w:val="fr-CA"/>
        </w:rPr>
      </w:pPr>
      <w:r>
        <w:rPr>
          <w:lang w:val="fr-CA"/>
        </w:rPr>
        <w:t xml:space="preserve">Consulte ce </w:t>
      </w:r>
      <w:hyperlink r:id="rId29"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0" w:name="_Toc36738349"/>
      <w:bookmarkStart w:id="11" w:name="_Toc36738359"/>
      <w:r w:rsidRPr="00B7087E">
        <w:lastRenderedPageBreak/>
        <w:t>Apprécier la pièce : 26 lettres à danser</w:t>
      </w:r>
      <w:bookmarkEnd w:id="10"/>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38"/>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38"/>
        </w:numPr>
        <w:spacing w:after="0"/>
        <w:ind w:left="406"/>
      </w:pPr>
      <w:r>
        <w:t>Porte un jugement en répondant aux questions.</w:t>
      </w:r>
    </w:p>
    <w:p w14:paraId="2ABBA4B3" w14:textId="77777777" w:rsidR="003B6E69" w:rsidRDefault="003B6E69" w:rsidP="003B6E69">
      <w:pPr>
        <w:pStyle w:val="Consignesetmatriel-description"/>
        <w:numPr>
          <w:ilvl w:val="0"/>
          <w:numId w:val="38"/>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38"/>
        </w:numPr>
        <w:spacing w:after="0"/>
        <w:ind w:left="406"/>
      </w:pPr>
      <w:r>
        <w:t xml:space="preserve">Essaie d’utiliser les bons mots. </w:t>
      </w:r>
    </w:p>
    <w:p w14:paraId="4BAA2BCA" w14:textId="77777777" w:rsidR="003B6E69" w:rsidRDefault="003B6E69" w:rsidP="003B6E69">
      <w:pPr>
        <w:pStyle w:val="Consignesetmatriel-description"/>
        <w:numPr>
          <w:ilvl w:val="0"/>
          <w:numId w:val="38"/>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30"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921B9F">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7B94C75F" w14:textId="77777777" w:rsidR="003B6E69" w:rsidRPr="006F3382" w:rsidRDefault="003B6E69" w:rsidP="00921B9F">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31"/>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2" w:name="_Toc36738350"/>
      <w:r w:rsidRPr="007004E1">
        <w:lastRenderedPageBreak/>
        <w:t>Annexe – 26 lettres à danser</w:t>
      </w:r>
      <w:bookmarkEnd w:id="12"/>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w:t>
      </w:r>
      <w:proofErr w:type="gramStart"/>
      <w:r w:rsidRPr="007B5C0C">
        <w:rPr>
          <w:rFonts w:eastAsia="Times New Roman" w:cs="Arial"/>
          <w:sz w:val="22"/>
          <w:szCs w:val="22"/>
          <w:lang w:val="fr-CA" w:eastAsia="fr-CA"/>
        </w:rPr>
        <w:t>ex</w:t>
      </w:r>
      <w:proofErr w:type="gramEnd"/>
      <w:r w:rsidRPr="007B5C0C">
        <w:rPr>
          <w:rFonts w:eastAsia="Times New Roman" w:cs="Arial"/>
          <w:sz w:val="22"/>
          <w:szCs w:val="22"/>
          <w:lang w:val="fr-CA" w:eastAsia="fr-CA"/>
        </w:rPr>
        <w:t>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lastRenderedPageBreak/>
        <w:t>Instagram : quel âge pour avoir un compte?</w:t>
      </w:r>
      <w:bookmarkEnd w:id="11"/>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2"/>
        </w:numPr>
        <w:spacing w:after="0"/>
        <w:ind w:left="426"/>
      </w:pPr>
      <w:r>
        <w:t xml:space="preserve">Informe-toi sur le sujet : « Devrait-on revoir l’âge légal requis pour avoir un compte </w:t>
      </w:r>
      <w:proofErr w:type="gramStart"/>
      <w:r>
        <w:t>Instagram?</w:t>
      </w:r>
      <w:proofErr w:type="gramEnd"/>
      <w:r>
        <w:t xml:space="preserve"> ».</w:t>
      </w:r>
    </w:p>
    <w:p w14:paraId="3366806A" w14:textId="583A8EA3" w:rsidR="000F4ED0" w:rsidRDefault="000F4ED0" w:rsidP="000F4ED0">
      <w:pPr>
        <w:pStyle w:val="Consignesetmatriel-description"/>
        <w:numPr>
          <w:ilvl w:val="0"/>
          <w:numId w:val="42"/>
        </w:numPr>
        <w:spacing w:after="0"/>
        <w:ind w:left="426"/>
      </w:pPr>
      <w:r>
        <w:t>Choisis quelle position tu défendras.</w:t>
      </w:r>
    </w:p>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807853">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 xml:space="preserve">Vous </w:t>
            </w:r>
            <w:proofErr w:type="spellStart"/>
            <w:r>
              <w:t>donner</w:t>
            </w:r>
            <w:proofErr w:type="spellEnd"/>
            <w:r>
              <w:t xml:space="preserve"> le rôle d’animateur du débat (faire respecter les règles).</w:t>
            </w:r>
          </w:p>
        </w:tc>
      </w:tr>
    </w:tbl>
    <w:p w14:paraId="02BAD787" w14:textId="25FE7F48" w:rsidR="00DB088D" w:rsidRDefault="00DB088D">
      <w:pPr>
        <w:sectPr w:rsidR="00DB088D" w:rsidSect="006F3382">
          <w:headerReference w:type="default" r:id="rId32"/>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3" w:name="_Toc36738360"/>
      <w:r w:rsidRPr="002C2B70">
        <w:rPr>
          <w:lang w:val="fr-CA"/>
        </w:rPr>
        <w:lastRenderedPageBreak/>
        <w:t>Des changements au Québec</w:t>
      </w:r>
      <w:bookmarkEnd w:id="13"/>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00DB088D" w:rsidRPr="006F3382" w14:paraId="13E3C5A3" w14:textId="77777777" w:rsidTr="00C951DA">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 xml:space="preserve">En classe d’univers social, les élèves sont invités à établir les causes des changements ainsi que leurs conséquences. Une cause peut être un but, un motif, une raison qui explique les </w:t>
            </w:r>
            <w:proofErr w:type="gramStart"/>
            <w:r w:rsidRPr="0057453D">
              <w:t>changements;</w:t>
            </w:r>
            <w:proofErr w:type="gramEnd"/>
            <w:r w:rsidRPr="0057453D">
              <w:t xml:space="preserve">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33"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34"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77777777" w:rsidR="003C4F56" w:rsidRPr="00533AAB" w:rsidRDefault="003C4F56" w:rsidP="00A878E0">
      <w:pPr>
        <w:rPr>
          <w:lang w:val="fr-CA"/>
        </w:rPr>
      </w:pPr>
    </w:p>
    <w:sectPr w:rsidR="003C4F56" w:rsidRPr="00533AAB" w:rsidSect="006F3382">
      <w:headerReference w:type="default" r:id="rId3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C8320" w14:textId="77777777" w:rsidR="00B909F6" w:rsidRDefault="00B909F6" w:rsidP="005E3AF4">
      <w:r>
        <w:separator/>
      </w:r>
    </w:p>
  </w:endnote>
  <w:endnote w:type="continuationSeparator" w:id="0">
    <w:p w14:paraId="7955C3D3" w14:textId="77777777" w:rsidR="00B909F6" w:rsidRDefault="00B909F6" w:rsidP="005E3AF4">
      <w:r>
        <w:continuationSeparator/>
      </w:r>
    </w:p>
  </w:endnote>
  <w:endnote w:type="continuationNotice" w:id="1">
    <w:p w14:paraId="2B7D6BCF" w14:textId="77777777" w:rsidR="00B909F6" w:rsidRDefault="00B9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27AE" w14:textId="77777777" w:rsidR="00B72C37" w:rsidRDefault="00B72C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BD26" w14:textId="77777777" w:rsidR="00B72C37" w:rsidRDefault="00B72C3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7A71D" w14:textId="77777777" w:rsidR="00B909F6" w:rsidRDefault="00B909F6" w:rsidP="005E3AF4">
      <w:r>
        <w:separator/>
      </w:r>
    </w:p>
  </w:footnote>
  <w:footnote w:type="continuationSeparator" w:id="0">
    <w:p w14:paraId="62E5946B" w14:textId="77777777" w:rsidR="00B909F6" w:rsidRDefault="00B909F6" w:rsidP="005E3AF4">
      <w:r>
        <w:continuationSeparator/>
      </w:r>
    </w:p>
  </w:footnote>
  <w:footnote w:type="continuationNotice" w:id="1">
    <w:p w14:paraId="537A2EF4" w14:textId="77777777" w:rsidR="00B909F6" w:rsidRDefault="00B90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A8AD" w14:textId="77777777" w:rsidR="00B72C37" w:rsidRDefault="00B72C3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70A7" w14:textId="7F11D0B5" w:rsidR="005015E6" w:rsidRPr="005E3AF4" w:rsidRDefault="005015E6" w:rsidP="00D02A6D">
    <w:pPr>
      <w:pStyle w:val="Nomdelamatireetniveau"/>
      <w:spacing w:before="480" w:after="720"/>
      <w:ind w:right="-1086"/>
    </w:pPr>
    <w:bookmarkStart w:id="14" w:name="_GoBack"/>
    <w:bookmarkEnd w:id="14"/>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718D2301" w:rsidR="00EA31FE" w:rsidRPr="00684325" w:rsidRDefault="00EA31FE" w:rsidP="00684325">
    <w:pPr>
      <w:pStyle w:val="Semaine"/>
      <w:rPr>
        <w:rFonts w:ascii="Arial" w:hAnsi="Arial"/>
      </w:rPr>
    </w:pPr>
  </w:p>
  <w:p w14:paraId="42528B79" w14:textId="786083EC" w:rsidR="00EA31FE" w:rsidRPr="00DA3FAE" w:rsidRDefault="00AC25F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12C1" w14:textId="77777777" w:rsidR="00B72C37" w:rsidRDefault="00B72C3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578" w14:textId="5B2C0A4D" w:rsidR="001443D3" w:rsidRPr="005E3AF4" w:rsidRDefault="004C45D6"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AC25F2">
      <w:t>6</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3"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5"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4"/>
  </w:num>
  <w:num w:numId="2">
    <w:abstractNumId w:val="32"/>
  </w:num>
  <w:num w:numId="3">
    <w:abstractNumId w:val="23"/>
  </w:num>
  <w:num w:numId="4">
    <w:abstractNumId w:val="16"/>
  </w:num>
  <w:num w:numId="5">
    <w:abstractNumId w:val="22"/>
  </w:num>
  <w:num w:numId="6">
    <w:abstractNumId w:val="23"/>
  </w:num>
  <w:num w:numId="7">
    <w:abstractNumId w:val="26"/>
  </w:num>
  <w:num w:numId="8">
    <w:abstractNumId w:val="15"/>
  </w:num>
  <w:num w:numId="9">
    <w:abstractNumId w:val="11"/>
  </w:num>
  <w:num w:numId="10">
    <w:abstractNumId w:val="23"/>
  </w:num>
  <w:num w:numId="11">
    <w:abstractNumId w:val="5"/>
  </w:num>
  <w:num w:numId="12">
    <w:abstractNumId w:val="14"/>
  </w:num>
  <w:num w:numId="13">
    <w:abstractNumId w:val="12"/>
  </w:num>
  <w:num w:numId="14">
    <w:abstractNumId w:val="23"/>
  </w:num>
  <w:num w:numId="15">
    <w:abstractNumId w:val="23"/>
  </w:num>
  <w:num w:numId="16">
    <w:abstractNumId w:val="6"/>
  </w:num>
  <w:num w:numId="17">
    <w:abstractNumId w:val="18"/>
  </w:num>
  <w:num w:numId="18">
    <w:abstractNumId w:val="8"/>
  </w:num>
  <w:num w:numId="19">
    <w:abstractNumId w:val="31"/>
  </w:num>
  <w:num w:numId="20">
    <w:abstractNumId w:val="27"/>
  </w:num>
  <w:num w:numId="21">
    <w:abstractNumId w:val="19"/>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3"/>
  </w:num>
  <w:num w:numId="29">
    <w:abstractNumId w:val="29"/>
  </w:num>
  <w:num w:numId="30">
    <w:abstractNumId w:val="23"/>
  </w:num>
  <w:num w:numId="31">
    <w:abstractNumId w:val="30"/>
  </w:num>
  <w:num w:numId="32">
    <w:abstractNumId w:val="23"/>
  </w:num>
  <w:num w:numId="33">
    <w:abstractNumId w:val="23"/>
  </w:num>
  <w:num w:numId="34">
    <w:abstractNumId w:val="3"/>
  </w:num>
  <w:num w:numId="35">
    <w:abstractNumId w:val="23"/>
  </w:num>
  <w:num w:numId="36">
    <w:abstractNumId w:val="23"/>
  </w:num>
  <w:num w:numId="37">
    <w:abstractNumId w:val="21"/>
  </w:num>
  <w:num w:numId="38">
    <w:abstractNumId w:val="28"/>
  </w:num>
  <w:num w:numId="39">
    <w:abstractNumId w:val="7"/>
  </w:num>
  <w:num w:numId="40">
    <w:abstractNumId w:val="20"/>
  </w:num>
  <w:num w:numId="41">
    <w:abstractNumId w:val="25"/>
  </w:num>
  <w:num w:numId="42">
    <w:abstractNumId w:val="1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B36B4"/>
    <w:rsid w:val="002C04F0"/>
    <w:rsid w:val="002C2B70"/>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F1EB0"/>
    <w:rsid w:val="00416A1B"/>
    <w:rsid w:val="00434D89"/>
    <w:rsid w:val="00476451"/>
    <w:rsid w:val="004869CD"/>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9CE"/>
    <w:rsid w:val="0089251B"/>
    <w:rsid w:val="008A474C"/>
    <w:rsid w:val="008A5181"/>
    <w:rsid w:val="008A71BE"/>
    <w:rsid w:val="008E157D"/>
    <w:rsid w:val="008F2E04"/>
    <w:rsid w:val="008F3D1E"/>
    <w:rsid w:val="00907BD8"/>
    <w:rsid w:val="00912B48"/>
    <w:rsid w:val="00954ED6"/>
    <w:rsid w:val="0096144E"/>
    <w:rsid w:val="0097265C"/>
    <w:rsid w:val="009731C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C12FB0"/>
    <w:rsid w:val="00C14E56"/>
    <w:rsid w:val="00C23A36"/>
    <w:rsid w:val="00C467DD"/>
    <w:rsid w:val="00C51222"/>
    <w:rsid w:val="00C71F50"/>
    <w:rsid w:val="00C77E67"/>
    <w:rsid w:val="00CE2277"/>
    <w:rsid w:val="00D0151B"/>
    <w:rsid w:val="00D020EF"/>
    <w:rsid w:val="00D02125"/>
    <w:rsid w:val="00D02A6D"/>
    <w:rsid w:val="00D078A1"/>
    <w:rsid w:val="00D35E6E"/>
    <w:rsid w:val="00D52119"/>
    <w:rsid w:val="00D7119C"/>
    <w:rsid w:val="00D85F5F"/>
    <w:rsid w:val="00DA3FAE"/>
    <w:rsid w:val="00DA4DD9"/>
    <w:rsid w:val="00DB088D"/>
    <w:rsid w:val="00DB4B58"/>
    <w:rsid w:val="00DC6971"/>
    <w:rsid w:val="00DD7C3C"/>
    <w:rsid w:val="00DF4403"/>
    <w:rsid w:val="00E13253"/>
    <w:rsid w:val="00E353C2"/>
    <w:rsid w:val="00E60571"/>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styleId="Mentionnonrsolue">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adlet.com/johanne_proulx/audio" TargetMode="External"/><Relationship Id="rId26" Type="http://schemas.openxmlformats.org/officeDocument/2006/relationships/header" Target="header7.xml"/><Relationship Id="rId21" Type="http://schemas.openxmlformats.org/officeDocument/2006/relationships/header" Target="header4.xml"/><Relationship Id="rId34" Type="http://schemas.openxmlformats.org/officeDocument/2006/relationships/hyperlink" Target="https://drive.google.com/file/d/1Y0bt1mN0ZPFDRYXTEU4e5NCbkp9mfieL/view?usp=sharin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adlet.com/johanne_proulx/audio" TargetMode="External"/><Relationship Id="rId25" Type="http://schemas.openxmlformats.org/officeDocument/2006/relationships/image" Target="media/image1.png"/><Relationship Id="rId33" Type="http://schemas.openxmlformats.org/officeDocument/2006/relationships/hyperlink" Target="https://drive.google.com/file/d/1Y0bt1mN0ZPFDRYXTEU4e5NCbkp9mfieL/view?usp=shar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adlet.com/johanne_proulx/audio" TargetMode="External"/><Relationship Id="rId29"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adlet.com/johanne_proulx/audio"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0" Type="http://schemas.openxmlformats.org/officeDocument/2006/relationships/hyperlink" Target="https://ici.tou.tv/26-lettres-a-danser" TargetMode="Externa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B66D63-28C8-43C3-8D22-DB774F94D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45045B20-31F4-470E-A66E-02479030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15</Pages>
  <Words>2863</Words>
  <Characters>15752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124</cp:revision>
  <cp:lastPrinted>2020-03-31T21:49:00Z</cp:lastPrinted>
  <dcterms:created xsi:type="dcterms:W3CDTF">2020-04-01T21:22:00Z</dcterms:created>
  <dcterms:modified xsi:type="dcterms:W3CDTF">2020-04-03T01:39:00Z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